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C4" w:rsidRPr="00A1757E" w:rsidRDefault="00127EC4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E53814">
        <w:rPr>
          <w:rFonts w:ascii="Times New Roman" w:hAnsi="Times New Roman" w:cs="Times New Roman"/>
          <w:sz w:val="28"/>
          <w:szCs w:val="28"/>
          <w:lang w:val="kk-KZ"/>
        </w:rPr>
        <w:t>коммунального</w:t>
      </w:r>
      <w:r w:rsidR="00E54BB2">
        <w:rPr>
          <w:rFonts w:ascii="Times New Roman" w:hAnsi="Times New Roman" w:cs="Times New Roman"/>
          <w:sz w:val="28"/>
          <w:szCs w:val="28"/>
        </w:rPr>
        <w:t xml:space="preserve"> г</w:t>
      </w:r>
      <w:r w:rsidR="00AF68CB">
        <w:rPr>
          <w:rFonts w:ascii="Times New Roman" w:hAnsi="Times New Roman" w:cs="Times New Roman"/>
          <w:sz w:val="28"/>
          <w:szCs w:val="28"/>
        </w:rPr>
        <w:t>осударственного предприятия на праве хозяйственного ведения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 </w:t>
      </w:r>
      <w:r w:rsidR="00127EC4" w:rsidRPr="00127E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27EC4" w:rsidRPr="00127EC4">
        <w:rPr>
          <w:rFonts w:ascii="Times New Roman" w:hAnsi="Times New Roman" w:cs="Times New Roman"/>
          <w:bCs/>
          <w:sz w:val="28"/>
          <w:szCs w:val="28"/>
        </w:rPr>
        <w:t>Атырауская</w:t>
      </w:r>
      <w:proofErr w:type="spellEnd"/>
      <w:r w:rsidR="00127EC4" w:rsidRPr="00127EC4">
        <w:rPr>
          <w:rFonts w:ascii="Times New Roman" w:hAnsi="Times New Roman" w:cs="Times New Roman"/>
          <w:bCs/>
          <w:sz w:val="28"/>
          <w:szCs w:val="28"/>
        </w:rPr>
        <w:t xml:space="preserve"> городская поликлиника № 5»</w:t>
      </w:r>
      <w:r w:rsidR="00127EC4" w:rsidRPr="00127EC4">
        <w:rPr>
          <w:rFonts w:ascii="Times New Roman" w:hAnsi="Times New Roman"/>
          <w:b/>
          <w:i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договор, в котором оговариваются характер, состав сведений, составляющих коммерческую тайну, а также взаимные обязательства по </w:t>
      </w:r>
      <w:r w:rsidRPr="001201C7">
        <w:rPr>
          <w:rFonts w:ascii="Times New Roman" w:hAnsi="Times New Roman" w:cs="Times New Roman"/>
          <w:sz w:val="28"/>
          <w:szCs w:val="28"/>
        </w:rPr>
        <w:lastRenderedPageBreak/>
        <w:t>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185020" w:rsidRPr="007871EE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 xml:space="preserve">тайну, ставшие ему известными по работе, пресекать действия других лиц, которые могут привести к разглашению </w:t>
      </w:r>
      <w:r w:rsidRPr="00B150AC">
        <w:rPr>
          <w:rFonts w:ascii="Times New Roman" w:hAnsi="Times New Roman" w:cs="Times New Roman"/>
          <w:sz w:val="28"/>
          <w:szCs w:val="28"/>
        </w:rPr>
        <w:lastRenderedPageBreak/>
        <w:t>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AC">
        <w:rPr>
          <w:rFonts w:ascii="Times New Roman" w:hAnsi="Times New Roman" w:cs="Times New Roman"/>
          <w:sz w:val="28"/>
          <w:szCs w:val="28"/>
        </w:rPr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r w:rsidRPr="002F6D4D">
        <w:rPr>
          <w:rFonts w:ascii="Times New Roman" w:hAnsi="Times New Roman" w:cs="Times New Roman"/>
          <w:sz w:val="28"/>
          <w:szCs w:val="28"/>
        </w:rPr>
        <w:t>ДСП</w:t>
      </w:r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A704FF">
        <w:rPr>
          <w:rFonts w:ascii="Times New Roman" w:hAnsi="Times New Roman" w:cs="Times New Roman"/>
          <w:sz w:val="28"/>
          <w:szCs w:val="28"/>
        </w:rPr>
        <w:t xml:space="preserve"> </w:t>
      </w:r>
      <w:r w:rsidR="001A4075" w:rsidRPr="002F6D4D">
        <w:rPr>
          <w:rFonts w:ascii="Times New Roman" w:hAnsi="Times New Roman" w:cs="Times New Roman"/>
          <w:sz w:val="28"/>
          <w:szCs w:val="28"/>
        </w:rPr>
        <w:t>и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2F6D4D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2F6D4D" w:rsidRDefault="00E54BB2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Коммерческую тайну РГП на ПХВ </w:t>
      </w:r>
      <w:r w:rsidR="00127EC4" w:rsidRPr="00127E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27EC4" w:rsidRPr="00127EC4">
        <w:rPr>
          <w:rFonts w:ascii="Times New Roman" w:hAnsi="Times New Roman" w:cs="Times New Roman"/>
          <w:bCs/>
          <w:sz w:val="28"/>
          <w:szCs w:val="28"/>
        </w:rPr>
        <w:t>Атырауская</w:t>
      </w:r>
      <w:proofErr w:type="spellEnd"/>
      <w:r w:rsidR="00127EC4" w:rsidRPr="00127EC4">
        <w:rPr>
          <w:rFonts w:ascii="Times New Roman" w:hAnsi="Times New Roman" w:cs="Times New Roman"/>
          <w:bCs/>
          <w:sz w:val="28"/>
          <w:szCs w:val="28"/>
        </w:rPr>
        <w:t xml:space="preserve"> городская поликлиника № 5»</w:t>
      </w:r>
      <w:r w:rsidR="00127EC4" w:rsidRPr="00127EC4">
        <w:rPr>
          <w:rFonts w:ascii="Times New Roman" w:hAnsi="Times New Roman"/>
          <w:b/>
          <w:i/>
        </w:rPr>
        <w:t xml:space="preserve"> 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кассовых документов (оприходование и расходование денежных </w:t>
      </w:r>
      <w:proofErr w:type="gramStart"/>
      <w:r w:rsidRPr="002F6D4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отечественных и зарубежных подрядчиках, поставщиках, </w:t>
      </w:r>
      <w:proofErr w:type="spellStart"/>
      <w:r w:rsidRPr="00A13DDC">
        <w:rPr>
          <w:rFonts w:ascii="Times New Roman" w:hAnsi="Times New Roman" w:cs="Times New Roman"/>
          <w:sz w:val="28"/>
          <w:szCs w:val="28"/>
        </w:rPr>
        <w:t>контрпартнерах</w:t>
      </w:r>
      <w:proofErr w:type="spellEnd"/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proofErr w:type="gramStart"/>
      <w:r w:rsidR="00E54BB2">
        <w:rPr>
          <w:rFonts w:ascii="Times New Roman" w:hAnsi="Times New Roman" w:cs="Times New Roman"/>
          <w:sz w:val="28"/>
          <w:szCs w:val="28"/>
        </w:rPr>
        <w:t>я</w:t>
      </w:r>
      <w:r w:rsidRPr="002F6D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>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6D4D">
        <w:rPr>
          <w:rFonts w:ascii="Times New Roman" w:hAnsi="Times New Roman" w:cs="Times New Roman"/>
          <w:sz w:val="28"/>
          <w:szCs w:val="28"/>
        </w:rPr>
        <w:t>____</w:t>
      </w:r>
    </w:p>
    <w:sectPr w:rsidR="002F6D4D" w:rsidRPr="002F6D4D" w:rsidSect="00BD31A1">
      <w:headerReference w:type="even" r:id="rId9"/>
      <w:head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89" w:rsidRDefault="00C30889" w:rsidP="003E6FC9">
      <w:r>
        <w:separator/>
      </w:r>
    </w:p>
  </w:endnote>
  <w:endnote w:type="continuationSeparator" w:id="0">
    <w:p w:rsidR="00C30889" w:rsidRDefault="00C30889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89" w:rsidRDefault="00C30889" w:rsidP="003E6FC9">
      <w:r>
        <w:separator/>
      </w:r>
    </w:p>
  </w:footnote>
  <w:footnote w:type="continuationSeparator" w:id="0">
    <w:p w:rsidR="00C30889" w:rsidRDefault="00C30889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E" w:rsidRDefault="005C4D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F" w:rsidRPr="00D63C0F" w:rsidRDefault="005C4D3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7E5537">
      <w:rPr>
        <w:rFonts w:ascii="Times New Roman" w:hAnsi="Times New Roman" w:cs="Times New Roman"/>
        <w:noProof/>
        <w:sz w:val="24"/>
        <w:szCs w:val="24"/>
      </w:rPr>
      <w:t>6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AFA"/>
    <w:rsid w:val="0001276F"/>
    <w:rsid w:val="00020D1D"/>
    <w:rsid w:val="00027FFE"/>
    <w:rsid w:val="000300DC"/>
    <w:rsid w:val="00030126"/>
    <w:rsid w:val="00032397"/>
    <w:rsid w:val="00036675"/>
    <w:rsid w:val="0005330F"/>
    <w:rsid w:val="00057230"/>
    <w:rsid w:val="00057760"/>
    <w:rsid w:val="00091E48"/>
    <w:rsid w:val="00092D0B"/>
    <w:rsid w:val="000C59BA"/>
    <w:rsid w:val="000D5B0D"/>
    <w:rsid w:val="000E37A4"/>
    <w:rsid w:val="000E4E46"/>
    <w:rsid w:val="00100A53"/>
    <w:rsid w:val="0010178F"/>
    <w:rsid w:val="001201C7"/>
    <w:rsid w:val="00124730"/>
    <w:rsid w:val="00127EC4"/>
    <w:rsid w:val="001335F3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A082F"/>
    <w:rsid w:val="002A3644"/>
    <w:rsid w:val="002B5DB0"/>
    <w:rsid w:val="002E270F"/>
    <w:rsid w:val="002E5908"/>
    <w:rsid w:val="002F6D4D"/>
    <w:rsid w:val="00304248"/>
    <w:rsid w:val="00311C73"/>
    <w:rsid w:val="003255ED"/>
    <w:rsid w:val="00347A67"/>
    <w:rsid w:val="003508C4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6FC9"/>
    <w:rsid w:val="0040088C"/>
    <w:rsid w:val="00401A10"/>
    <w:rsid w:val="004176F1"/>
    <w:rsid w:val="0042786D"/>
    <w:rsid w:val="00447EDE"/>
    <w:rsid w:val="00451668"/>
    <w:rsid w:val="004675C9"/>
    <w:rsid w:val="0048416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975ED"/>
    <w:rsid w:val="005C3C05"/>
    <w:rsid w:val="005C4D35"/>
    <w:rsid w:val="005F16D4"/>
    <w:rsid w:val="005F5310"/>
    <w:rsid w:val="00625C6C"/>
    <w:rsid w:val="00656F5D"/>
    <w:rsid w:val="00676BC8"/>
    <w:rsid w:val="00692DAD"/>
    <w:rsid w:val="006B302E"/>
    <w:rsid w:val="006D6205"/>
    <w:rsid w:val="006D79E9"/>
    <w:rsid w:val="006E6B02"/>
    <w:rsid w:val="007072CA"/>
    <w:rsid w:val="0072549B"/>
    <w:rsid w:val="00727A6B"/>
    <w:rsid w:val="00732738"/>
    <w:rsid w:val="00756D5F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E5537"/>
    <w:rsid w:val="007F4BC6"/>
    <w:rsid w:val="007F681A"/>
    <w:rsid w:val="00800EB8"/>
    <w:rsid w:val="00834446"/>
    <w:rsid w:val="00834733"/>
    <w:rsid w:val="0083784F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597C"/>
    <w:rsid w:val="009718BF"/>
    <w:rsid w:val="00971DE8"/>
    <w:rsid w:val="00973008"/>
    <w:rsid w:val="009775D6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04FF"/>
    <w:rsid w:val="00A7633D"/>
    <w:rsid w:val="00A871C5"/>
    <w:rsid w:val="00A87C79"/>
    <w:rsid w:val="00AC4861"/>
    <w:rsid w:val="00AD7D97"/>
    <w:rsid w:val="00AF68CB"/>
    <w:rsid w:val="00B14C84"/>
    <w:rsid w:val="00B150AC"/>
    <w:rsid w:val="00B25F85"/>
    <w:rsid w:val="00B40C77"/>
    <w:rsid w:val="00B4316F"/>
    <w:rsid w:val="00B54A53"/>
    <w:rsid w:val="00B74313"/>
    <w:rsid w:val="00B7485C"/>
    <w:rsid w:val="00BA322C"/>
    <w:rsid w:val="00BA3CD7"/>
    <w:rsid w:val="00BB6DF0"/>
    <w:rsid w:val="00BC09D1"/>
    <w:rsid w:val="00BD31A1"/>
    <w:rsid w:val="00BE01B5"/>
    <w:rsid w:val="00BE6E65"/>
    <w:rsid w:val="00C051D9"/>
    <w:rsid w:val="00C248B8"/>
    <w:rsid w:val="00C30889"/>
    <w:rsid w:val="00C402B0"/>
    <w:rsid w:val="00C43AD9"/>
    <w:rsid w:val="00C544A6"/>
    <w:rsid w:val="00C55DBD"/>
    <w:rsid w:val="00C60CC7"/>
    <w:rsid w:val="00C64BF8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E2915"/>
    <w:rsid w:val="00DF4C93"/>
    <w:rsid w:val="00E0645E"/>
    <w:rsid w:val="00E53814"/>
    <w:rsid w:val="00E54BB2"/>
    <w:rsid w:val="00E56045"/>
    <w:rsid w:val="00E67E5E"/>
    <w:rsid w:val="00E83903"/>
    <w:rsid w:val="00E85BEE"/>
    <w:rsid w:val="00EA6F9B"/>
    <w:rsid w:val="00EB340F"/>
    <w:rsid w:val="00EC0FB3"/>
    <w:rsid w:val="00ED5A20"/>
    <w:rsid w:val="00EE5923"/>
    <w:rsid w:val="00EE79BD"/>
    <w:rsid w:val="00F03774"/>
    <w:rsid w:val="00F23804"/>
    <w:rsid w:val="00F245C4"/>
    <w:rsid w:val="00F250DA"/>
    <w:rsid w:val="00F61230"/>
    <w:rsid w:val="00F74D16"/>
    <w:rsid w:val="00F75C35"/>
    <w:rsid w:val="00F936E3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8230-96EF-4167-87A5-E3C9A9B2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Sveta</dc:creator>
  <cp:keywords/>
  <dc:description/>
  <cp:lastModifiedBy>Admin</cp:lastModifiedBy>
  <cp:revision>5</cp:revision>
  <cp:lastPrinted>2018-01-11T12:48:00Z</cp:lastPrinted>
  <dcterms:created xsi:type="dcterms:W3CDTF">2011-06-08T05:23:00Z</dcterms:created>
  <dcterms:modified xsi:type="dcterms:W3CDTF">2018-03-15T15:32:00Z</dcterms:modified>
</cp:coreProperties>
</file>